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33" w:rsidRDefault="00B63C33" w:rsidP="00B63C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548DD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90F662" wp14:editId="2248E0ED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43000" cy="1130935"/>
            <wp:effectExtent l="0" t="0" r="0" b="12065"/>
            <wp:wrapNone/>
            <wp:docPr id="2" name="Picture 1" descr="LETNSLogo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NSLogo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C33" w:rsidRPr="00827D70" w:rsidRDefault="00B63C33" w:rsidP="00B63C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sz w:val="28"/>
          <w:szCs w:val="28"/>
        </w:rPr>
      </w:pPr>
      <w:r w:rsidRPr="00827D70">
        <w:rPr>
          <w:rFonts w:ascii="Verdana" w:eastAsia="Verdana" w:hAnsi="Verdana" w:cs="Verdana"/>
          <w:b/>
          <w:sz w:val="28"/>
          <w:szCs w:val="28"/>
        </w:rPr>
        <w:t>Hire and Us</w:t>
      </w:r>
      <w:r w:rsidR="00827D70" w:rsidRPr="00827D70">
        <w:rPr>
          <w:rFonts w:ascii="Verdana" w:eastAsia="Verdana" w:hAnsi="Verdana" w:cs="Verdana"/>
          <w:b/>
          <w:sz w:val="28"/>
          <w:szCs w:val="28"/>
        </w:rPr>
        <w:t>e of School Premises Policy in L</w:t>
      </w:r>
      <w:r w:rsidRPr="00827D70">
        <w:rPr>
          <w:rFonts w:ascii="Verdana" w:eastAsia="Verdana" w:hAnsi="Verdana" w:cs="Verdana"/>
          <w:b/>
          <w:sz w:val="28"/>
          <w:szCs w:val="28"/>
        </w:rPr>
        <w:t xml:space="preserve">ETNS </w:t>
      </w:r>
    </w:p>
    <w:p w:rsidR="00B319CE" w:rsidRDefault="00B319CE" w:rsidP="00B63C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548DD4"/>
          <w:sz w:val="28"/>
          <w:szCs w:val="28"/>
        </w:rPr>
      </w:pPr>
    </w:p>
    <w:p w:rsidR="00B63C33" w:rsidRDefault="00B63C33" w:rsidP="00B63C3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b/>
          <w:color w:val="548DD4"/>
          <w:sz w:val="28"/>
          <w:szCs w:val="28"/>
        </w:rPr>
      </w:pPr>
      <w:bookmarkStart w:id="0" w:name="_GoBack"/>
    </w:p>
    <w:bookmarkEnd w:id="0"/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" w:right="705" w:firstLine="1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External group use of the school premises for whatever purpose is dependant on compliance with the following directions and with the approval of the Board of Management: </w:t>
      </w:r>
    </w:p>
    <w:p w:rsidR="00B63C33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8" w:right="705" w:firstLine="11"/>
        <w:rPr>
          <w:rFonts w:ascii="Verdana" w:eastAsia="Verdana" w:hAnsi="Verdana" w:cs="Verdana"/>
          <w:color w:val="000000"/>
          <w:sz w:val="20"/>
          <w:szCs w:val="20"/>
        </w:rPr>
      </w:pP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38" w:right="701" w:hanging="341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1. Evidence of appropriate insurance including public liability must be provided in writing to the Board of Management (unless the BoM agrees alternative arrangements).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704" w:hanging="35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2. A child protection policy must be provided where children are involved with the use of the school.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700" w:hanging="35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3. Written confirmation that instructors/teachers have completed the Garda Vetting procedures must be provided to the school where children are involved with the use of the school.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9" w:right="713" w:hanging="37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4. A copy of the providers Safety Statement must be provided to the Board of Management in line with the Safety, Health and Welfare Act of 2005.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705" w:hanging="35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5. The nature of the activities for which the school is hired must be in keeping with the general educational aims and/or ethos of the school.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722" w:hanging="356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6. The standard and quality as regards organisation, discipline and instruction (where it applies) must be in keeping with the professional standards of the school.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8" w:right="702" w:hanging="36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7. Where it applies, the quality of care shown to children involved in specific activities must be in keeping with that of the school.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30" w:right="706" w:hanging="348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8. The supervision of children attending extra curricular activities is the responsibility of the teacher/instructor present on behalf of the group/individual hiring the school. This includes the supervision and care of the pupils waiting beforehand and waiting to be collected afterwards.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715" w:hanging="359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9. Responsibility rests with the group/individual who is hiring the school for communicating with parents about: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a. Starting/finishing dates and times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b. Cancellations, re-scheduling etc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c. A contact phone number should be provided to parents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8" w:right="715" w:hanging="35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10. The teacher/organiser present on behalf of the group/individual hiring the school is responsible for: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Ensuring that the school’s no smoking status is upheld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Reporting and repairing any damages to property or facilities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Turning off lights on leaving the premises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Returning equipment and furniture to proper storage point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Re-arranging classroom furniture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Any necessary cleaning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● </w:t>
      </w:r>
      <w:r>
        <w:rPr>
          <w:rFonts w:ascii="Verdana" w:eastAsia="Verdana" w:hAnsi="Verdana" w:cs="Verdana"/>
          <w:color w:val="000000"/>
          <w:sz w:val="20"/>
          <w:szCs w:val="20"/>
        </w:rPr>
        <w:t>Setting the alarm, locking up the school building and grounds</w:t>
      </w:r>
      <w:r w:rsidR="00827D70">
        <w:rPr>
          <w:rFonts w:ascii="Verdana" w:eastAsia="Verdana" w:hAnsi="Verdana" w:cs="Verdana"/>
          <w:color w:val="000000"/>
          <w:sz w:val="20"/>
          <w:szCs w:val="20"/>
        </w:rPr>
        <w:t xml:space="preserve"> if necessary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07"/>
        <w:rPr>
          <w:rFonts w:ascii="Verdana" w:eastAsia="Verdana" w:hAnsi="Verdana" w:cs="Verdana"/>
          <w:color w:val="000000"/>
          <w:sz w:val="20"/>
          <w:szCs w:val="20"/>
        </w:rPr>
      </w:pP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11.Rental is divided into hourly, half-day, full-day and weekly rates. See table below.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"/>
        <w:tblW w:w="860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00"/>
      </w:tblGrid>
      <w:tr w:rsidR="00B319CE">
        <w:trPr>
          <w:trHeight w:val="460"/>
        </w:trPr>
        <w:tc>
          <w:tcPr>
            <w:tcW w:w="8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4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Hourly €3</w:t>
            </w:r>
            <w:r w:rsidR="00827D7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0</w:t>
            </w:r>
          </w:p>
        </w:tc>
      </w:tr>
      <w:tr w:rsidR="00B319CE">
        <w:trPr>
          <w:trHeight w:val="480"/>
        </w:trPr>
        <w:tc>
          <w:tcPr>
            <w:tcW w:w="8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4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Ha</w:t>
            </w:r>
            <w:r w:rsidR="00827D7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lf-Day (4 consecutive hours) €11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0</w:t>
            </w:r>
          </w:p>
        </w:tc>
      </w:tr>
      <w:tr w:rsidR="00B319CE">
        <w:trPr>
          <w:trHeight w:val="459"/>
        </w:trPr>
        <w:tc>
          <w:tcPr>
            <w:tcW w:w="8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4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Full - Day (8 cons</w:t>
            </w:r>
            <w:r w:rsidR="00827D70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ecutive hours) €200</w:t>
            </w:r>
          </w:p>
        </w:tc>
      </w:tr>
      <w:tr w:rsidR="00827D70">
        <w:trPr>
          <w:trHeight w:val="459"/>
        </w:trPr>
        <w:tc>
          <w:tcPr>
            <w:tcW w:w="8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D70" w:rsidRDefault="00827D70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4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Weekly (Half-Day) €550</w:t>
            </w:r>
          </w:p>
        </w:tc>
      </w:tr>
      <w:tr w:rsidR="00827D70">
        <w:trPr>
          <w:trHeight w:val="459"/>
        </w:trPr>
        <w:tc>
          <w:tcPr>
            <w:tcW w:w="8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D70" w:rsidRDefault="00827D70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4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Weekly (Full-Day) €1,000</w:t>
            </w:r>
          </w:p>
        </w:tc>
      </w:tr>
    </w:tbl>
    <w:p w:rsidR="00B319CE" w:rsidRDefault="00B319CE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36" w:right="992" w:firstLine="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Other financial arrangements may be agreed should the Board of Management see fit. Payments are made by electronic transfer to the bank account of </w:t>
      </w:r>
      <w:r w:rsidR="00827D70">
        <w:rPr>
          <w:rFonts w:ascii="Verdana" w:eastAsia="Verdana" w:hAnsi="Verdana" w:cs="Verdana"/>
          <w:color w:val="000000"/>
          <w:sz w:val="20"/>
          <w:szCs w:val="20"/>
        </w:rPr>
        <w:t>Lucan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Educate Together National School, monthly in advance. Account details are: </w:t>
      </w:r>
    </w:p>
    <w:p w:rsidR="00B319CE" w:rsidRPr="00827D70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02"/>
        <w:rPr>
          <w:color w:val="0B5394"/>
        </w:rPr>
      </w:pPr>
      <w:r w:rsidRPr="00827D70">
        <w:rPr>
          <w:color w:val="0B5394"/>
        </w:rPr>
        <w:t>(Please put in Hall and company name/activity as a reference)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32"/>
        <w:rPr>
          <w:color w:val="0B5394"/>
          <w:sz w:val="20"/>
          <w:szCs w:val="20"/>
        </w:rPr>
      </w:pPr>
      <w:r>
        <w:rPr>
          <w:color w:val="0B5394"/>
          <w:sz w:val="20"/>
          <w:szCs w:val="20"/>
        </w:rPr>
        <w:t xml:space="preserve">BIC: </w:t>
      </w:r>
      <w:r w:rsidR="00827D70">
        <w:rPr>
          <w:color w:val="0B5394"/>
          <w:sz w:val="20"/>
          <w:szCs w:val="20"/>
        </w:rPr>
        <w:t>BOFIIE2D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187"/>
        <w:rPr>
          <w:color w:val="0B5394"/>
          <w:sz w:val="20"/>
          <w:szCs w:val="20"/>
        </w:rPr>
      </w:pPr>
      <w:r>
        <w:rPr>
          <w:color w:val="0B5394"/>
          <w:sz w:val="20"/>
          <w:szCs w:val="20"/>
        </w:rPr>
        <w:t xml:space="preserve">IBAN: </w:t>
      </w:r>
      <w:r w:rsidR="00827D70">
        <w:rPr>
          <w:color w:val="0B5394"/>
          <w:sz w:val="20"/>
          <w:szCs w:val="20"/>
        </w:rPr>
        <w:t>IE09BOFI 901204 22894148</w:t>
      </w:r>
      <w:r>
        <w:rPr>
          <w:color w:val="0B5394"/>
          <w:sz w:val="20"/>
          <w:szCs w:val="20"/>
        </w:rPr>
        <w:t xml:space="preserve">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699" w:hanging="34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12. The school will endeavour to give the renter at least two weeks notice if the hall/room is required by the school for its own purposes, should the need arise. The school also reserves the right to discontinue the use of the hall/room at any time for any specific reason.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9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13. The period of rental may not exceed one academic year. </w:t>
      </w: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682" w:hanging="34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14. The Board of Management will review the hire of the school premises at a minimum annually. 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40" w:right="682" w:hanging="343"/>
        <w:rPr>
          <w:rFonts w:ascii="Verdana" w:eastAsia="Verdana" w:hAnsi="Verdana" w:cs="Verdana"/>
          <w:color w:val="000000"/>
          <w:sz w:val="20"/>
          <w:szCs w:val="20"/>
        </w:rPr>
      </w:pPr>
    </w:p>
    <w:p w:rsidR="00B319CE" w:rsidRPr="00827D70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/>
        <w:rPr>
          <w:rFonts w:ascii="Verdana" w:eastAsia="Verdana" w:hAnsi="Verdana" w:cs="Verdana"/>
          <w:sz w:val="20"/>
          <w:szCs w:val="20"/>
          <w:u w:val="thick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On behalf of</w:t>
      </w:r>
      <w:r w:rsidR="00827D70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827D70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827D70">
        <w:rPr>
          <w:rFonts w:ascii="Verdana" w:eastAsia="Verdana" w:hAnsi="Verdana" w:cs="Verdana"/>
          <w:color w:val="000000"/>
          <w:sz w:val="20"/>
          <w:szCs w:val="20"/>
          <w:u w:val="thick"/>
        </w:rPr>
        <w:t xml:space="preserve">                                                             .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/>
        <w:rPr>
          <w:rFonts w:ascii="Verdana" w:eastAsia="Verdana" w:hAnsi="Verdana" w:cs="Verdana"/>
          <w:color w:val="000000"/>
          <w:sz w:val="20"/>
          <w:szCs w:val="20"/>
        </w:rPr>
      </w:pP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0" w:right="885" w:firstLine="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 have read this policy and accept all these conditions. We wish to hire the school premises on the dates and times outlined below. 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0" w:right="885" w:firstLine="2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1"/>
        <w:tblW w:w="9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0"/>
        <w:gridCol w:w="6780"/>
      </w:tblGrid>
      <w:tr w:rsidR="00B319CE">
        <w:trPr>
          <w:trHeight w:val="700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04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Rates </w:t>
            </w:r>
          </w:p>
        </w:tc>
        <w:tc>
          <w:tcPr>
            <w:tcW w:w="6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4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Rate </w:t>
            </w:r>
          </w:p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44"/>
              <w:jc w:val="right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Dates &amp; Times</w:t>
            </w:r>
          </w:p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4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Selected </w:t>
            </w:r>
          </w:p>
        </w:tc>
      </w:tr>
      <w:tr w:rsidR="00B319CE">
        <w:trPr>
          <w:trHeight w:val="480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Hourly</w:t>
            </w:r>
          </w:p>
        </w:tc>
        <w:tc>
          <w:tcPr>
            <w:tcW w:w="6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319CE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319CE">
        <w:trPr>
          <w:trHeight w:val="699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Half-Day (4 </w:t>
            </w:r>
          </w:p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consecutive hours)</w:t>
            </w:r>
          </w:p>
        </w:tc>
        <w:tc>
          <w:tcPr>
            <w:tcW w:w="6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319CE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319CE">
        <w:trPr>
          <w:trHeight w:val="700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9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lastRenderedPageBreak/>
              <w:t xml:space="preserve">Full - Day (8 </w:t>
            </w:r>
          </w:p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consecutive hours)</w:t>
            </w:r>
          </w:p>
        </w:tc>
        <w:tc>
          <w:tcPr>
            <w:tcW w:w="6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319CE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319CE">
        <w:trPr>
          <w:trHeight w:val="459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Weekly (Half-Day)</w:t>
            </w:r>
          </w:p>
        </w:tc>
        <w:tc>
          <w:tcPr>
            <w:tcW w:w="6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319CE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B319CE">
        <w:trPr>
          <w:trHeight w:val="480"/>
        </w:trPr>
        <w:tc>
          <w:tcPr>
            <w:tcW w:w="2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63C33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8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Weekly (Full-Day)</w:t>
            </w:r>
          </w:p>
        </w:tc>
        <w:tc>
          <w:tcPr>
            <w:tcW w:w="6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CE" w:rsidRDefault="00B319CE" w:rsidP="00827D7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B319CE" w:rsidRDefault="00B319CE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B319CE" w:rsidRDefault="00B319CE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color w:val="000000"/>
          <w:sz w:val="20"/>
          <w:szCs w:val="20"/>
        </w:rPr>
      </w:pPr>
    </w:p>
    <w:p w:rsidR="00827D70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Signed on behalf of group: 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sz w:val="20"/>
          <w:szCs w:val="20"/>
        </w:rPr>
      </w:pP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sz w:val="20"/>
          <w:szCs w:val="20"/>
        </w:rPr>
      </w:pPr>
    </w:p>
    <w:p w:rsidR="00827D70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Chairperson</w:t>
      </w:r>
      <w:r w:rsidR="00827D70">
        <w:rPr>
          <w:rFonts w:ascii="Verdana" w:eastAsia="Verdana" w:hAnsi="Verdana" w:cs="Verdana"/>
          <w:color w:val="000000"/>
          <w:sz w:val="20"/>
          <w:szCs w:val="20"/>
        </w:rPr>
        <w:t>, BoM:</w:t>
      </w:r>
    </w:p>
    <w:p w:rsidR="00827D70" w:rsidRDefault="00827D70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color w:val="000000"/>
          <w:sz w:val="20"/>
          <w:szCs w:val="20"/>
        </w:rPr>
      </w:pPr>
    </w:p>
    <w:p w:rsidR="00B319CE" w:rsidRDefault="00B63C33" w:rsidP="00827D7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" w:right="954" w:firstLine="1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Date</w:t>
      </w:r>
      <w:r w:rsidR="00827D70">
        <w:rPr>
          <w:rFonts w:ascii="Verdana" w:eastAsia="Verdana" w:hAnsi="Verdana" w:cs="Verdana"/>
          <w:color w:val="000000"/>
          <w:sz w:val="20"/>
          <w:szCs w:val="20"/>
        </w:rPr>
        <w:t>:</w:t>
      </w:r>
    </w:p>
    <w:sectPr w:rsidR="00B319CE">
      <w:pgSz w:w="11920" w:h="16840"/>
      <w:pgMar w:top="969" w:right="565" w:bottom="790" w:left="12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19CE"/>
    <w:rsid w:val="00827D70"/>
    <w:rsid w:val="00B319CE"/>
    <w:rsid w:val="00B6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C3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3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C3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3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3160</Characters>
  <Application>Microsoft Macintosh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Ultan J Casey</cp:lastModifiedBy>
  <cp:revision>2</cp:revision>
  <cp:lastPrinted>2023-09-07T13:55:00Z</cp:lastPrinted>
  <dcterms:created xsi:type="dcterms:W3CDTF">2023-09-07T13:58:00Z</dcterms:created>
  <dcterms:modified xsi:type="dcterms:W3CDTF">2023-09-07T13:58:00Z</dcterms:modified>
</cp:coreProperties>
</file>